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A937" w14:textId="77777777" w:rsidR="00605CEB" w:rsidRPr="00605CEB" w:rsidRDefault="00605CEB" w:rsidP="00605CEB">
      <w:pPr>
        <w:jc w:val="center"/>
        <w:rPr>
          <w:rFonts w:ascii="Arial" w:hAnsi="Arial" w:cs="Arial"/>
          <w:b/>
          <w:bCs/>
        </w:rPr>
      </w:pPr>
      <w:r w:rsidRPr="00605CEB">
        <w:rPr>
          <w:rFonts w:ascii="Arial" w:hAnsi="Arial" w:cs="Arial"/>
          <w:b/>
          <w:bCs/>
        </w:rPr>
        <w:t>CONCLUYE TEMPORADA DE HURACANES 2024 CON ÉXITO POR CULTURA DE PREVENCIÓN Y SEGURIDAD: ANA PATY PERALTA</w:t>
      </w:r>
    </w:p>
    <w:p w14:paraId="073A5A82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64AED131" w14:textId="77777777" w:rsidR="00605CEB" w:rsidRPr="00605CEB" w:rsidRDefault="00605CEB" w:rsidP="00605CEB">
      <w:pPr>
        <w:jc w:val="both"/>
        <w:rPr>
          <w:rFonts w:ascii="Arial" w:hAnsi="Arial" w:cs="Arial"/>
        </w:rPr>
      </w:pPr>
      <w:r w:rsidRPr="00605CEB">
        <w:rPr>
          <w:rFonts w:ascii="Arial" w:hAnsi="Arial" w:cs="Arial"/>
          <w:b/>
          <w:bCs/>
        </w:rPr>
        <w:t>Cancún, Q. R., a 02 de diciembre de 2024.-</w:t>
      </w:r>
      <w:r w:rsidRPr="00605CEB">
        <w:rPr>
          <w:rFonts w:ascii="Arial" w:hAnsi="Arial" w:cs="Arial"/>
        </w:rPr>
        <w:t xml:space="preserve"> El Ayuntamiento de Benito Juárez, a través de la Dirección de Protección Civil, informó que el día 30 de noviembre finalizó la “Temporada de Huracanes”, donde Cancún hizo frente a tres fenómenos hidrometeorológicos mediante las acciones preventivas impulsadas por la </w:t>
      </w:r>
      <w:proofErr w:type="gramStart"/>
      <w:r w:rsidRPr="00605CEB">
        <w:rPr>
          <w:rFonts w:ascii="Arial" w:hAnsi="Arial" w:cs="Arial"/>
        </w:rPr>
        <w:t>Presidenta</w:t>
      </w:r>
      <w:proofErr w:type="gramEnd"/>
      <w:r w:rsidRPr="00605CEB">
        <w:rPr>
          <w:rFonts w:ascii="Arial" w:hAnsi="Arial" w:cs="Arial"/>
        </w:rPr>
        <w:t xml:space="preserve"> Municipal, Ana Paty Peralta, que promueve la cultura de la prevención. </w:t>
      </w:r>
    </w:p>
    <w:p w14:paraId="219C25D6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7E643ED5" w14:textId="77777777" w:rsidR="00605CEB" w:rsidRPr="00605CEB" w:rsidRDefault="00605CEB" w:rsidP="00605CEB">
      <w:pPr>
        <w:jc w:val="both"/>
        <w:rPr>
          <w:rFonts w:ascii="Arial" w:hAnsi="Arial" w:cs="Arial"/>
        </w:rPr>
      </w:pPr>
      <w:r w:rsidRPr="00605CEB">
        <w:rPr>
          <w:rFonts w:ascii="Arial" w:hAnsi="Arial" w:cs="Arial"/>
        </w:rPr>
        <w:t>Durante este año, el pasado 29 de mayo se llevó a cabo el protocolo de Inicio a la Temporada de Huracanes 2024, con la instalación del Comité Operativo Especializado en Fenómenos Hidrometeorológicos del Municipio de Benito Juárez, para salvaguardar la integridad física y de los bienes de la ciudadanía y turistas.</w:t>
      </w:r>
    </w:p>
    <w:p w14:paraId="66CB6524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23F40859" w14:textId="77777777" w:rsidR="00605CEB" w:rsidRPr="00605CEB" w:rsidRDefault="00605CEB" w:rsidP="00605CEB">
      <w:pPr>
        <w:jc w:val="both"/>
        <w:rPr>
          <w:rFonts w:ascii="Arial" w:hAnsi="Arial" w:cs="Arial"/>
        </w:rPr>
      </w:pPr>
      <w:r w:rsidRPr="00605CEB">
        <w:rPr>
          <w:rFonts w:ascii="Arial" w:hAnsi="Arial" w:cs="Arial"/>
        </w:rPr>
        <w:t xml:space="preserve">En Cancún, se realizaron diversas sesiones permanentes de dicho Comité, derivadas de la formación y posible impacto de los siguientes fenómenos hidrometeorológicos para su seguimiento: </w:t>
      </w:r>
      <w:proofErr w:type="spellStart"/>
      <w:r w:rsidRPr="00605CEB">
        <w:rPr>
          <w:rFonts w:ascii="Arial" w:hAnsi="Arial" w:cs="Arial"/>
        </w:rPr>
        <w:t>Beryl</w:t>
      </w:r>
      <w:proofErr w:type="spellEnd"/>
      <w:r w:rsidRPr="00605CEB">
        <w:rPr>
          <w:rFonts w:ascii="Arial" w:hAnsi="Arial" w:cs="Arial"/>
        </w:rPr>
        <w:t>, registrado el 02 de julio; Helene, 24 de septiembre y Milton, 07 de octubre.</w:t>
      </w:r>
    </w:p>
    <w:p w14:paraId="63F0F1E1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2D7C43BE" w14:textId="77777777" w:rsidR="00605CEB" w:rsidRPr="00605CEB" w:rsidRDefault="00605CEB" w:rsidP="00605CEB">
      <w:pPr>
        <w:jc w:val="both"/>
        <w:rPr>
          <w:rFonts w:ascii="Arial" w:hAnsi="Arial" w:cs="Arial"/>
        </w:rPr>
      </w:pPr>
      <w:r w:rsidRPr="00605CEB">
        <w:rPr>
          <w:rFonts w:ascii="Arial" w:hAnsi="Arial" w:cs="Arial"/>
        </w:rPr>
        <w:t>Para el huracán “</w:t>
      </w:r>
      <w:proofErr w:type="spellStart"/>
      <w:r w:rsidRPr="00605CEB">
        <w:rPr>
          <w:rFonts w:ascii="Arial" w:hAnsi="Arial" w:cs="Arial"/>
        </w:rPr>
        <w:t>Beryl</w:t>
      </w:r>
      <w:proofErr w:type="spellEnd"/>
      <w:r w:rsidRPr="00605CEB">
        <w:rPr>
          <w:rFonts w:ascii="Arial" w:hAnsi="Arial" w:cs="Arial"/>
        </w:rPr>
        <w:t>” se activaron 21 refugios temporales, albergando a 257 personas y 31 mascotas; durante “Helene”, fueron 5 refugios temporales, con 19 personas refugiadas y seis mascotas; mientras que para “Milton”, cinco refugios temporales, con 64 personas alojadas y 18 mascotas.</w:t>
      </w:r>
    </w:p>
    <w:p w14:paraId="133FA54B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0BB4FCD9" w14:textId="77777777" w:rsidR="00605CEB" w:rsidRPr="00605CEB" w:rsidRDefault="00605CEB" w:rsidP="00605CEB">
      <w:pPr>
        <w:jc w:val="both"/>
        <w:rPr>
          <w:rFonts w:ascii="Arial" w:hAnsi="Arial" w:cs="Arial"/>
        </w:rPr>
      </w:pPr>
      <w:r w:rsidRPr="00605CEB">
        <w:rPr>
          <w:rFonts w:ascii="Arial" w:hAnsi="Arial" w:cs="Arial"/>
        </w:rPr>
        <w:t>Es importante mencionar que durante estas contingencias las autoridades municipales apoyaron a la población con el traslado a sus domicilios y a refugios, poda de árboles antes del impacto, apoyos viales de vehículos varados, desazolve de avenidas principales, limpieza de alcantarillas y acciones preventivas en playas, entre otras.</w:t>
      </w:r>
    </w:p>
    <w:p w14:paraId="3954D910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0718188D" w14:textId="02A4ED7F" w:rsidR="00605CEB" w:rsidRPr="00605CEB" w:rsidRDefault="00605CEB" w:rsidP="00605CEB">
      <w:pPr>
        <w:jc w:val="center"/>
        <w:rPr>
          <w:rFonts w:ascii="Arial" w:hAnsi="Arial" w:cs="Arial"/>
        </w:rPr>
      </w:pPr>
      <w:r w:rsidRPr="00605CEB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4272959D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40E2914F" w14:textId="77777777" w:rsidR="00605CEB" w:rsidRPr="00605CEB" w:rsidRDefault="00605CEB" w:rsidP="00605CEB">
      <w:pPr>
        <w:jc w:val="center"/>
        <w:rPr>
          <w:rFonts w:ascii="Arial" w:hAnsi="Arial" w:cs="Arial"/>
          <w:b/>
          <w:bCs/>
        </w:rPr>
      </w:pPr>
      <w:r w:rsidRPr="00605CEB">
        <w:rPr>
          <w:rFonts w:ascii="Arial" w:hAnsi="Arial" w:cs="Arial"/>
          <w:b/>
          <w:bCs/>
        </w:rPr>
        <w:t>CAJA DE DATOS</w:t>
      </w:r>
    </w:p>
    <w:p w14:paraId="4EED6568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04581B3B" w14:textId="77777777" w:rsidR="00605CEB" w:rsidRPr="00605CEB" w:rsidRDefault="00605CEB" w:rsidP="00605CEB">
      <w:pPr>
        <w:jc w:val="both"/>
        <w:rPr>
          <w:rFonts w:ascii="Arial" w:hAnsi="Arial" w:cs="Arial"/>
        </w:rPr>
      </w:pPr>
      <w:r w:rsidRPr="00605CEB">
        <w:rPr>
          <w:rFonts w:ascii="Arial" w:hAnsi="Arial" w:cs="Arial"/>
        </w:rPr>
        <w:t>RESUMEN DE FENÓMENOS HIDROMETEOROLOGICOS EN EL OCÉANO ATLÁNTICO</w:t>
      </w:r>
    </w:p>
    <w:p w14:paraId="43194EBF" w14:textId="77777777" w:rsidR="00605CEB" w:rsidRPr="00605CEB" w:rsidRDefault="00605CEB" w:rsidP="00605CEB">
      <w:pPr>
        <w:jc w:val="both"/>
        <w:rPr>
          <w:rFonts w:ascii="Arial" w:hAnsi="Arial" w:cs="Arial"/>
        </w:rPr>
      </w:pPr>
    </w:p>
    <w:p w14:paraId="3CEEC496" w14:textId="759B3227" w:rsidR="00605CEB" w:rsidRPr="00605CEB" w:rsidRDefault="00605CEB" w:rsidP="00605CEB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proofErr w:type="gramStart"/>
      <w:r w:rsidRPr="00605CEB">
        <w:rPr>
          <w:rFonts w:ascii="Arial" w:hAnsi="Arial" w:cs="Arial"/>
        </w:rPr>
        <w:t>Total</w:t>
      </w:r>
      <w:proofErr w:type="gramEnd"/>
      <w:r w:rsidRPr="00605CEB">
        <w:rPr>
          <w:rFonts w:ascii="Arial" w:hAnsi="Arial" w:cs="Arial"/>
        </w:rPr>
        <w:t xml:space="preserve"> de sistemas pronosticados: 20 – 23</w:t>
      </w:r>
    </w:p>
    <w:p w14:paraId="522EDA8A" w14:textId="75CDC6D3" w:rsidR="0090458F" w:rsidRPr="00605CEB" w:rsidRDefault="00605CEB" w:rsidP="00605CEB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proofErr w:type="gramStart"/>
      <w:r w:rsidRPr="00605CEB">
        <w:rPr>
          <w:rFonts w:ascii="Arial" w:hAnsi="Arial" w:cs="Arial"/>
        </w:rPr>
        <w:t>Total</w:t>
      </w:r>
      <w:proofErr w:type="gramEnd"/>
      <w:r w:rsidRPr="00605CEB">
        <w:rPr>
          <w:rFonts w:ascii="Arial" w:hAnsi="Arial" w:cs="Arial"/>
        </w:rPr>
        <w:t xml:space="preserve"> de sistemas formados: 18</w:t>
      </w:r>
    </w:p>
    <w:sectPr w:rsidR="0090458F" w:rsidRPr="00605CE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DB9E" w14:textId="77777777" w:rsidR="006F5663" w:rsidRDefault="006F5663" w:rsidP="0092028B">
      <w:r>
        <w:separator/>
      </w:r>
    </w:p>
  </w:endnote>
  <w:endnote w:type="continuationSeparator" w:id="0">
    <w:p w14:paraId="74019FCD" w14:textId="77777777" w:rsidR="006F5663" w:rsidRDefault="006F56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513E" w14:textId="77777777" w:rsidR="006F5663" w:rsidRDefault="006F5663" w:rsidP="0092028B">
      <w:r>
        <w:separator/>
      </w:r>
    </w:p>
  </w:footnote>
  <w:footnote w:type="continuationSeparator" w:id="0">
    <w:p w14:paraId="442297E6" w14:textId="77777777" w:rsidR="006F5663" w:rsidRDefault="006F56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B9B4B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05CE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B9B4B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05CEB">
                      <w:rPr>
                        <w:rFonts w:cstheme="minorHAnsi"/>
                        <w:b/>
                        <w:bCs/>
                        <w:lang w:val="es-ES"/>
                      </w:rPr>
                      <w:t>28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007A"/>
    <w:multiLevelType w:val="hybridMultilevel"/>
    <w:tmpl w:val="11B8009A"/>
    <w:lvl w:ilvl="0" w:tplc="5648670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85AA3"/>
    <w:multiLevelType w:val="hybridMultilevel"/>
    <w:tmpl w:val="CB54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2"/>
  </w:num>
  <w:num w:numId="3" w16cid:durableId="1350453206">
    <w:abstractNumId w:val="4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5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8"/>
  </w:num>
  <w:num w:numId="11" w16cid:durableId="634992595">
    <w:abstractNumId w:val="11"/>
  </w:num>
  <w:num w:numId="12" w16cid:durableId="1755202202">
    <w:abstractNumId w:val="19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3"/>
  </w:num>
  <w:num w:numId="16" w16cid:durableId="1053892324">
    <w:abstractNumId w:val="5"/>
  </w:num>
  <w:num w:numId="17" w16cid:durableId="359667562">
    <w:abstractNumId w:val="21"/>
  </w:num>
  <w:num w:numId="18" w16cid:durableId="469715409">
    <w:abstractNumId w:val="2"/>
  </w:num>
  <w:num w:numId="19" w16cid:durableId="1769495619">
    <w:abstractNumId w:val="24"/>
  </w:num>
  <w:num w:numId="20" w16cid:durableId="954218425">
    <w:abstractNumId w:val="16"/>
  </w:num>
  <w:num w:numId="21" w16cid:durableId="1789228862">
    <w:abstractNumId w:val="6"/>
  </w:num>
  <w:num w:numId="22" w16cid:durableId="208762983">
    <w:abstractNumId w:val="20"/>
  </w:num>
  <w:num w:numId="23" w16cid:durableId="1249850288">
    <w:abstractNumId w:val="17"/>
  </w:num>
  <w:num w:numId="24" w16cid:durableId="1870144636">
    <w:abstractNumId w:val="23"/>
  </w:num>
  <w:num w:numId="25" w16cid:durableId="848371929">
    <w:abstractNumId w:val="15"/>
  </w:num>
  <w:num w:numId="26" w16cid:durableId="1124612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05CEB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6F566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2024-12-02T22:15:00Z</dcterms:created>
  <dcterms:modified xsi:type="dcterms:W3CDTF">2024-12-02T22:15:00Z</dcterms:modified>
</cp:coreProperties>
</file>